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2376" w14:textId="77777777" w:rsidR="00851BB7" w:rsidRDefault="00851BB7" w:rsidP="00851BB7">
      <w:pPr>
        <w:spacing w:before="100" w:beforeAutospacing="1" w:after="100" w:afterAutospacing="1"/>
        <w:rPr>
          <w:rFonts w:ascii="Arial" w:eastAsia="Times New Roman" w:hAnsi="Arial" w:cs="Arial"/>
          <w:b/>
          <w:bCs/>
          <w:sz w:val="22"/>
          <w:szCs w:val="22"/>
        </w:rPr>
      </w:pPr>
    </w:p>
    <w:p w14:paraId="004C3190" w14:textId="77777777" w:rsidR="00851BB7" w:rsidRDefault="00851BB7" w:rsidP="00851BB7">
      <w:pPr>
        <w:spacing w:before="100" w:beforeAutospacing="1" w:after="100" w:afterAutospacing="1"/>
        <w:jc w:val="center"/>
        <w:rPr>
          <w:rFonts w:ascii="Arial" w:eastAsia="Times New Roman" w:hAnsi="Arial" w:cs="Arial"/>
          <w:b/>
          <w:bCs/>
          <w:sz w:val="22"/>
          <w:szCs w:val="22"/>
        </w:rPr>
      </w:pPr>
      <w:r w:rsidRPr="00851BB7">
        <w:rPr>
          <w:rFonts w:ascii="Arial" w:eastAsia="Times New Roman" w:hAnsi="Arial" w:cs="Arial"/>
          <w:b/>
          <w:bCs/>
          <w:sz w:val="22"/>
          <w:szCs w:val="22"/>
        </w:rPr>
        <w:t>VOTING ENTITY ISSUES (VEI’s)</w:t>
      </w:r>
      <w:r>
        <w:rPr>
          <w:rFonts w:ascii="Arial" w:eastAsia="Times New Roman" w:hAnsi="Arial" w:cs="Arial"/>
          <w:b/>
          <w:bCs/>
          <w:sz w:val="22"/>
          <w:szCs w:val="22"/>
        </w:rPr>
        <w:t xml:space="preserve"> Report</w:t>
      </w:r>
    </w:p>
    <w:p w14:paraId="0C17832C" w14:textId="4429526E" w:rsidR="00851BB7" w:rsidRPr="00851BB7" w:rsidRDefault="00851BB7" w:rsidP="00851BB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br/>
      </w:r>
      <w:r>
        <w:rPr>
          <w:rFonts w:ascii="Arial" w:eastAsia="Times New Roman" w:hAnsi="Arial" w:cs="Arial"/>
          <w:b/>
          <w:bCs/>
          <w:sz w:val="22"/>
          <w:szCs w:val="22"/>
        </w:rPr>
        <w:t>(From Issues Mediation Committee (IMC) Annual Report)</w:t>
      </w:r>
    </w:p>
    <w:p w14:paraId="7B9B2C48" w14:textId="77777777"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2"/>
          <w:szCs w:val="22"/>
        </w:rPr>
        <w:t xml:space="preserve">Colombia VEI 1 &amp; 2 </w:t>
      </w:r>
      <w:r w:rsidRPr="00851BB7">
        <w:rPr>
          <w:rFonts w:ascii="ArialMT" w:eastAsia="Times New Roman" w:hAnsi="ArialMT" w:cs="Times New Roman"/>
          <w:sz w:val="22"/>
          <w:szCs w:val="22"/>
        </w:rPr>
        <w:t xml:space="preserve">- </w:t>
      </w:r>
      <w:r w:rsidRPr="00851BB7">
        <w:rPr>
          <w:rFonts w:ascii="Arial" w:eastAsia="Times New Roman" w:hAnsi="Arial" w:cs="Arial"/>
          <w:b/>
          <w:bCs/>
          <w:sz w:val="22"/>
          <w:szCs w:val="22"/>
        </w:rPr>
        <w:t xml:space="preserve">Closed </w:t>
      </w:r>
      <w:r w:rsidRPr="00851BB7">
        <w:rPr>
          <w:rFonts w:ascii="ArialMT" w:eastAsia="Times New Roman" w:hAnsi="ArialMT" w:cs="Times New Roman"/>
          <w:sz w:val="22"/>
          <w:szCs w:val="22"/>
        </w:rPr>
        <w:t xml:space="preserve">- </w:t>
      </w:r>
      <w:r w:rsidRPr="00851BB7">
        <w:rPr>
          <w:rFonts w:ascii="ArialMT" w:eastAsia="Times New Roman" w:hAnsi="ArialMT" w:cs="Times New Roman"/>
          <w:i/>
          <w:iCs/>
          <w:sz w:val="22"/>
          <w:szCs w:val="22"/>
        </w:rPr>
        <w:t>Assigned to the Board. Columbia withdrew VEI 2 and the Board made a determination on VEI 1: The Board does not have the power to grant exclusive rights to any country to print, publish and distribute literature outside of their own countries, including the United States.</w:t>
      </w:r>
      <w:r w:rsidRPr="00851BB7">
        <w:rPr>
          <w:rFonts w:ascii="ArialMT" w:eastAsia="Times New Roman" w:hAnsi="ArialMT" w:cs="Times New Roman"/>
          <w:sz w:val="22"/>
          <w:szCs w:val="22"/>
        </w:rPr>
        <w:t xml:space="preserve"> </w:t>
      </w:r>
    </w:p>
    <w:p w14:paraId="6899E55C" w14:textId="79D06E92"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2"/>
          <w:szCs w:val="22"/>
        </w:rPr>
        <w:t xml:space="preserve">Arizona VEI 2020-01 – Missed 2020 CSC Motion Deadline. Assigned to Service Structure Committee. Can be presented at 2021 CSC. </w:t>
      </w:r>
      <w:r>
        <w:rPr>
          <w:rFonts w:ascii="Times New Roman" w:eastAsia="Times New Roman" w:hAnsi="Times New Roman" w:cs="Times New Roman"/>
        </w:rPr>
        <w:br/>
      </w:r>
      <w:r w:rsidRPr="00851BB7">
        <w:rPr>
          <w:rFonts w:ascii="ArialMT" w:eastAsia="Times New Roman" w:hAnsi="ArialMT" w:cs="Times New Roman"/>
          <w:b/>
          <w:bCs/>
          <w:i/>
          <w:iCs/>
          <w:sz w:val="22"/>
          <w:szCs w:val="22"/>
        </w:rPr>
        <w:t>Motion:</w:t>
      </w:r>
      <w:r>
        <w:rPr>
          <w:rFonts w:ascii="ArialMT" w:eastAsia="Times New Roman" w:hAnsi="ArialMT" w:cs="Times New Roman"/>
          <w:i/>
          <w:iCs/>
          <w:sz w:val="22"/>
          <w:szCs w:val="22"/>
        </w:rPr>
        <w:t xml:space="preserve"> </w:t>
      </w:r>
      <w:r w:rsidRPr="00851BB7">
        <w:rPr>
          <w:rFonts w:ascii="ArialMT" w:eastAsia="Times New Roman" w:hAnsi="ArialMT" w:cs="Times New Roman"/>
          <w:i/>
          <w:iCs/>
          <w:sz w:val="22"/>
          <w:szCs w:val="22"/>
        </w:rPr>
        <w:t xml:space="preserve">Update the CoDA Preamble with one change to the first sentence. The suggestion is a change in the first line by replacing the language stating “men and women” with the word “people.” </w:t>
      </w:r>
    </w:p>
    <w:p w14:paraId="053D1917" w14:textId="38E51B39"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Arizona VEI 2020-02 – Closed - declined by Board. </w:t>
      </w:r>
      <w:r>
        <w:rPr>
          <w:rFonts w:ascii="Times New Roman" w:eastAsia="Times New Roman" w:hAnsi="Times New Roman" w:cs="Times New Roman"/>
        </w:rPr>
        <w:br/>
      </w:r>
      <w:r w:rsidRPr="00851BB7">
        <w:rPr>
          <w:rFonts w:ascii="ArialMT" w:eastAsia="Times New Roman" w:hAnsi="ArialMT" w:cs="Times New Roman"/>
          <w:b/>
          <w:bCs/>
          <w:i/>
          <w:iCs/>
          <w:sz w:val="22"/>
          <w:szCs w:val="22"/>
        </w:rPr>
        <w:t>Motion:</w:t>
      </w:r>
      <w:r w:rsidRPr="00851BB7">
        <w:rPr>
          <w:rFonts w:ascii="ArialMT" w:eastAsia="Times New Roman" w:hAnsi="ArialMT" w:cs="Times New Roman"/>
          <w:i/>
          <w:iCs/>
          <w:sz w:val="22"/>
          <w:szCs w:val="22"/>
        </w:rPr>
        <w:t xml:space="preserve"> One-word description for each of the 12 Service Concepts</w:t>
      </w:r>
      <w:r w:rsidRPr="00851BB7">
        <w:rPr>
          <w:rFonts w:ascii="ArialMT" w:eastAsia="Times New Roman" w:hAnsi="ArialMT" w:cs="Times New Roman"/>
          <w:i/>
          <w:iCs/>
          <w:sz w:val="22"/>
          <w:szCs w:val="22"/>
        </w:rPr>
        <w:br/>
        <w:t>Per Fellowship Service Manua</w:t>
      </w:r>
      <w:r>
        <w:rPr>
          <w:rFonts w:ascii="ArialMT" w:eastAsia="Times New Roman" w:hAnsi="ArialMT" w:cs="Times New Roman"/>
          <w:i/>
          <w:iCs/>
          <w:sz w:val="22"/>
          <w:szCs w:val="22"/>
        </w:rPr>
        <w:t>l (FSM)</w:t>
      </w:r>
      <w:r w:rsidRPr="00851BB7">
        <w:rPr>
          <w:rFonts w:ascii="ArialMT" w:eastAsia="Times New Roman" w:hAnsi="ArialMT" w:cs="Times New Roman"/>
          <w:i/>
          <w:iCs/>
          <w:sz w:val="22"/>
          <w:szCs w:val="22"/>
        </w:rPr>
        <w:t xml:space="preserve">: Eligible to be brought to CSC 2021 as a motion. </w:t>
      </w:r>
    </w:p>
    <w:p w14:paraId="32FBE5D0" w14:textId="14C13156"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Arizona VEI 2020-03 – Closed - declined by Board. </w:t>
      </w:r>
      <w:r>
        <w:rPr>
          <w:rFonts w:ascii="Times New Roman" w:eastAsia="Times New Roman" w:hAnsi="Times New Roman" w:cs="Times New Roman"/>
        </w:rPr>
        <w:br/>
      </w:r>
      <w:r w:rsidRPr="00851BB7">
        <w:rPr>
          <w:rFonts w:ascii="ArialMT" w:eastAsia="Times New Roman" w:hAnsi="ArialMT" w:cs="Times New Roman"/>
          <w:b/>
          <w:bCs/>
          <w:i/>
          <w:iCs/>
          <w:sz w:val="22"/>
          <w:szCs w:val="22"/>
        </w:rPr>
        <w:t>Motion:</w:t>
      </w:r>
      <w:r w:rsidRPr="00851BB7">
        <w:rPr>
          <w:rFonts w:ascii="ArialMT" w:eastAsia="Times New Roman" w:hAnsi="ArialMT" w:cs="Times New Roman"/>
          <w:i/>
          <w:iCs/>
          <w:sz w:val="22"/>
          <w:szCs w:val="22"/>
        </w:rPr>
        <w:t xml:space="preserve"> One-word description for each of the 12 Service Traditions</w:t>
      </w:r>
      <w:r w:rsidRPr="00851BB7">
        <w:rPr>
          <w:rFonts w:ascii="ArialMT" w:eastAsia="Times New Roman" w:hAnsi="ArialMT" w:cs="Times New Roman"/>
          <w:i/>
          <w:iCs/>
          <w:sz w:val="22"/>
          <w:szCs w:val="22"/>
        </w:rPr>
        <w:br/>
        <w:t>Per Fellowship Service Manua</w:t>
      </w:r>
      <w:r>
        <w:rPr>
          <w:rFonts w:ascii="ArialMT" w:eastAsia="Times New Roman" w:hAnsi="ArialMT" w:cs="Times New Roman"/>
          <w:i/>
          <w:iCs/>
          <w:sz w:val="22"/>
          <w:szCs w:val="22"/>
        </w:rPr>
        <w:t>l (FSM)</w:t>
      </w:r>
      <w:r w:rsidRPr="00851BB7">
        <w:rPr>
          <w:rFonts w:ascii="ArialMT" w:eastAsia="Times New Roman" w:hAnsi="ArialMT" w:cs="Times New Roman"/>
          <w:i/>
          <w:iCs/>
          <w:sz w:val="22"/>
          <w:szCs w:val="22"/>
        </w:rPr>
        <w:t xml:space="preserve">: Eligible to be brought to CSC 2021 as a motion. </w:t>
      </w:r>
    </w:p>
    <w:p w14:paraId="5D14A612" w14:textId="3C82F0C8"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Arizona VEI 2020-04 – Active: </w:t>
      </w:r>
      <w:r>
        <w:rPr>
          <w:rFonts w:ascii="Times New Roman" w:eastAsia="Times New Roman" w:hAnsi="Times New Roman" w:cs="Times New Roman"/>
        </w:rPr>
        <w:br/>
      </w:r>
      <w:r w:rsidRPr="00851BB7">
        <w:rPr>
          <w:rFonts w:ascii="ArialMT" w:eastAsia="Times New Roman" w:hAnsi="ArialMT" w:cs="Times New Roman"/>
          <w:b/>
          <w:bCs/>
          <w:i/>
          <w:iCs/>
          <w:sz w:val="22"/>
          <w:szCs w:val="22"/>
        </w:rPr>
        <w:t>2020 CSC Motion</w:t>
      </w:r>
      <w:r w:rsidRPr="00851BB7">
        <w:rPr>
          <w:rFonts w:ascii="ArialMT" w:eastAsia="Times New Roman" w:hAnsi="ArialMT" w:cs="Times New Roman"/>
          <w:i/>
          <w:iCs/>
          <w:sz w:val="22"/>
          <w:szCs w:val="22"/>
        </w:rPr>
        <w:t xml:space="preserve"> </w:t>
      </w:r>
      <w:r w:rsidRPr="00851BB7">
        <w:rPr>
          <w:rFonts w:ascii="ArialMT" w:eastAsia="Times New Roman" w:hAnsi="ArialMT" w:cs="Times New Roman"/>
          <w:b/>
          <w:bCs/>
          <w:i/>
          <w:iCs/>
          <w:sz w:val="22"/>
          <w:szCs w:val="22"/>
        </w:rPr>
        <w:t>presented by Service Structure Committee</w:t>
      </w:r>
      <w:r>
        <w:rPr>
          <w:rFonts w:ascii="ArialMT" w:eastAsia="Times New Roman" w:hAnsi="ArialMT" w:cs="Times New Roman"/>
          <w:b/>
          <w:bCs/>
          <w:i/>
          <w:iCs/>
          <w:sz w:val="22"/>
          <w:szCs w:val="22"/>
        </w:rPr>
        <w:t xml:space="preserve"> (SSC)</w:t>
      </w:r>
      <w:r w:rsidRPr="00851BB7">
        <w:rPr>
          <w:rFonts w:ascii="ArialMT" w:eastAsia="Times New Roman" w:hAnsi="ArialMT" w:cs="Times New Roman"/>
          <w:b/>
          <w:bCs/>
          <w:i/>
          <w:iCs/>
          <w:sz w:val="22"/>
          <w:szCs w:val="22"/>
        </w:rPr>
        <w:t>.</w:t>
      </w:r>
      <w:r w:rsidRPr="00851BB7">
        <w:rPr>
          <w:rFonts w:ascii="ArialMT" w:eastAsia="Times New Roman" w:hAnsi="ArialMT" w:cs="Times New Roman"/>
          <w:i/>
          <w:iCs/>
          <w:sz w:val="22"/>
          <w:szCs w:val="22"/>
        </w:rPr>
        <w:br/>
      </w:r>
      <w:r w:rsidRPr="00851BB7">
        <w:rPr>
          <w:rFonts w:ascii="ArialMT" w:eastAsia="Times New Roman" w:hAnsi="ArialMT" w:cs="Times New Roman"/>
          <w:b/>
          <w:bCs/>
          <w:i/>
          <w:iCs/>
          <w:sz w:val="22"/>
          <w:szCs w:val="22"/>
        </w:rPr>
        <w:t>SSC Motion #2</w:t>
      </w:r>
      <w:r w:rsidRPr="00851BB7">
        <w:rPr>
          <w:rFonts w:ascii="ArialMT" w:eastAsia="Times New Roman" w:hAnsi="ArialMT" w:cs="Times New Roman"/>
          <w:i/>
          <w:iCs/>
          <w:sz w:val="22"/>
          <w:szCs w:val="22"/>
        </w:rPr>
        <w:br/>
      </w:r>
      <w:r w:rsidRPr="00851BB7">
        <w:rPr>
          <w:rFonts w:ascii="ArialMT" w:eastAsia="Times New Roman" w:hAnsi="ArialMT" w:cs="Times New Roman"/>
          <w:b/>
          <w:bCs/>
          <w:i/>
          <w:iCs/>
          <w:sz w:val="22"/>
          <w:szCs w:val="22"/>
        </w:rPr>
        <w:t>Motion:</w:t>
      </w:r>
      <w:r w:rsidRPr="00851BB7">
        <w:rPr>
          <w:rFonts w:ascii="ArialMT" w:eastAsia="Times New Roman" w:hAnsi="ArialMT" w:cs="Times New Roman"/>
          <w:i/>
          <w:iCs/>
          <w:sz w:val="22"/>
          <w:szCs w:val="22"/>
        </w:rPr>
        <w:t xml:space="preserve"> (Tradition Eleven) We propose this wording: Our public relations policy is based on attraction rather than promotion; we need always maintain personal anonymity at the level of all public forms of media. </w:t>
      </w:r>
    </w:p>
    <w:p w14:paraId="70D6D8A9" w14:textId="1342EF07"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SoCal VEI 2020-01 – Active: </w:t>
      </w:r>
      <w:r>
        <w:rPr>
          <w:rFonts w:ascii="Times New Roman" w:eastAsia="Times New Roman" w:hAnsi="Times New Roman" w:cs="Times New Roman"/>
        </w:rPr>
        <w:br/>
      </w:r>
      <w:r w:rsidRPr="00851BB7">
        <w:rPr>
          <w:rFonts w:ascii="ArialMT" w:eastAsia="Times New Roman" w:hAnsi="ArialMT" w:cs="Times New Roman"/>
          <w:b/>
          <w:bCs/>
          <w:sz w:val="22"/>
          <w:szCs w:val="22"/>
        </w:rPr>
        <w:t>2020 CSC</w:t>
      </w:r>
      <w:r w:rsidRPr="00851BB7">
        <w:rPr>
          <w:rFonts w:ascii="ArialMT" w:eastAsia="Times New Roman" w:hAnsi="ArialMT" w:cs="Times New Roman"/>
          <w:sz w:val="22"/>
          <w:szCs w:val="22"/>
        </w:rPr>
        <w:t xml:space="preserve"> </w:t>
      </w:r>
      <w:r w:rsidRPr="00851BB7">
        <w:rPr>
          <w:rFonts w:ascii="ArialMT" w:eastAsia="Times New Roman" w:hAnsi="ArialMT" w:cs="Times New Roman"/>
          <w:b/>
          <w:bCs/>
          <w:sz w:val="22"/>
          <w:szCs w:val="22"/>
        </w:rPr>
        <w:t>Motion presented by Events Committee:</w:t>
      </w:r>
      <w:r w:rsidRPr="00851BB7">
        <w:rPr>
          <w:rFonts w:ascii="ArialMT" w:eastAsia="Times New Roman" w:hAnsi="ArialMT" w:cs="Times New Roman"/>
          <w:sz w:val="22"/>
          <w:szCs w:val="22"/>
        </w:rPr>
        <w:t xml:space="preserve"> </w:t>
      </w:r>
      <w:r w:rsidRPr="00851BB7">
        <w:rPr>
          <w:rFonts w:ascii="ArialMT" w:eastAsia="Times New Roman" w:hAnsi="ArialMT" w:cs="Times New Roman"/>
          <w:b/>
          <w:bCs/>
          <w:sz w:val="22"/>
          <w:szCs w:val="22"/>
        </w:rPr>
        <w:t>Events Motion #1</w:t>
      </w:r>
      <w:r w:rsidRPr="00851BB7">
        <w:rPr>
          <w:rFonts w:ascii="ArialMT" w:eastAsia="Times New Roman" w:hAnsi="ArialMT" w:cs="Times New Roman"/>
          <w:sz w:val="22"/>
          <w:szCs w:val="22"/>
        </w:rPr>
        <w:t xml:space="preserve"> Call for "thirty seconds" prior to each vote on a motion at all future CoDA Service Conferences, and to update the FSM accordingly with that procedure. </w:t>
      </w:r>
    </w:p>
    <w:p w14:paraId="0433993C" w14:textId="54A11795"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SoCal VEI 2020-02 – Closed: </w:t>
      </w:r>
      <w:r w:rsidRPr="00851BB7">
        <w:rPr>
          <w:rFonts w:ascii="ArialMT" w:eastAsia="Times New Roman" w:hAnsi="ArialMT" w:cs="Times New Roman"/>
          <w:sz w:val="22"/>
          <w:szCs w:val="22"/>
        </w:rPr>
        <w:t>Declined by the Board.</w:t>
      </w:r>
      <w:r w:rsidRPr="00851BB7">
        <w:rPr>
          <w:rFonts w:ascii="ArialMT" w:eastAsia="Times New Roman" w:hAnsi="ArialMT" w:cs="Times New Roman"/>
          <w:sz w:val="22"/>
          <w:szCs w:val="22"/>
        </w:rPr>
        <w:br/>
        <w:t xml:space="preserve">Can a new section be added to the VEI or Sub-committee motion forms for an approximately 50-word summary of the motion? For more complicated issues, the 50-word summary can be used to describe the overall concept of the motion. This could then be used by delegates and members to more fully understand the original meaning of the author’s request (Voting Entities, Sub-Committees, the CoDA Board, etc.). </w:t>
      </w:r>
      <w:r>
        <w:rPr>
          <w:rFonts w:ascii="Times New Roman" w:eastAsia="Times New Roman" w:hAnsi="Times New Roman" w:cs="Times New Roman"/>
        </w:rPr>
        <w:br/>
      </w:r>
      <w:r w:rsidRPr="00851BB7">
        <w:rPr>
          <w:rFonts w:ascii="ArialMT" w:eastAsia="Times New Roman" w:hAnsi="ArialMT" w:cs="Times New Roman"/>
          <w:i/>
          <w:iCs/>
          <w:sz w:val="22"/>
          <w:szCs w:val="22"/>
        </w:rPr>
        <w:t>Per Fellowship Service Manua</w:t>
      </w:r>
      <w:r>
        <w:rPr>
          <w:rFonts w:ascii="ArialMT" w:eastAsia="Times New Roman" w:hAnsi="ArialMT" w:cs="Times New Roman"/>
          <w:i/>
          <w:iCs/>
          <w:sz w:val="22"/>
          <w:szCs w:val="22"/>
        </w:rPr>
        <w:t>l (FSM)</w:t>
      </w:r>
      <w:r w:rsidRPr="00851BB7">
        <w:rPr>
          <w:rFonts w:ascii="ArialMT" w:eastAsia="Times New Roman" w:hAnsi="ArialMT" w:cs="Times New Roman"/>
          <w:i/>
          <w:iCs/>
          <w:sz w:val="22"/>
          <w:szCs w:val="22"/>
        </w:rPr>
        <w:t xml:space="preserve">: </w:t>
      </w:r>
      <w:r w:rsidRPr="00851BB7">
        <w:rPr>
          <w:rFonts w:ascii="ArialMT" w:eastAsia="Times New Roman" w:hAnsi="ArialMT" w:cs="Times New Roman"/>
          <w:sz w:val="22"/>
          <w:szCs w:val="22"/>
        </w:rPr>
        <w:t xml:space="preserve">Eligible to be brought to CSC 2021 as a motion. </w:t>
      </w:r>
    </w:p>
    <w:p w14:paraId="6A4AD2F3" w14:textId="5B008247"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0"/>
          <w:szCs w:val="20"/>
        </w:rPr>
        <w:t xml:space="preserve">Texas VEI 2020-01 – Active: </w:t>
      </w:r>
      <w:r>
        <w:rPr>
          <w:rFonts w:ascii="Times New Roman" w:eastAsia="Times New Roman" w:hAnsi="Times New Roman" w:cs="Times New Roman"/>
        </w:rPr>
        <w:br/>
      </w:r>
      <w:r w:rsidRPr="00851BB7">
        <w:rPr>
          <w:rFonts w:ascii="ArialMT" w:eastAsia="Times New Roman" w:hAnsi="ArialMT" w:cs="Times New Roman"/>
          <w:b/>
          <w:bCs/>
          <w:sz w:val="22"/>
          <w:szCs w:val="22"/>
        </w:rPr>
        <w:t>2021 CSC Motion presented by Literature Committee</w:t>
      </w:r>
      <w:r w:rsidRPr="00851BB7">
        <w:rPr>
          <w:rFonts w:ascii="ArialMT" w:eastAsia="Times New Roman" w:hAnsi="ArialMT" w:cs="Times New Roman"/>
          <w:sz w:val="22"/>
          <w:szCs w:val="22"/>
        </w:rPr>
        <w:t xml:space="preserve"> </w:t>
      </w:r>
      <w:r>
        <w:rPr>
          <w:rFonts w:ascii="ArialMT" w:eastAsia="Times New Roman" w:hAnsi="ArialMT" w:cs="Times New Roman"/>
          <w:sz w:val="22"/>
          <w:szCs w:val="22"/>
        </w:rPr>
        <w:br/>
      </w:r>
      <w:r w:rsidRPr="00851BB7">
        <w:rPr>
          <w:rFonts w:ascii="ArialMT" w:eastAsia="Times New Roman" w:hAnsi="ArialMT" w:cs="Times New Roman"/>
          <w:b/>
          <w:bCs/>
          <w:sz w:val="22"/>
          <w:szCs w:val="22"/>
        </w:rPr>
        <w:t>Motion:</w:t>
      </w:r>
      <w:r w:rsidRPr="00851BB7">
        <w:rPr>
          <w:rFonts w:ascii="ArialMT" w:eastAsia="Times New Roman" w:hAnsi="ArialMT" w:cs="Times New Roman"/>
          <w:sz w:val="22"/>
          <w:szCs w:val="22"/>
        </w:rPr>
        <w:t xml:space="preserve"> Updating with proposed request: MEETING HANDBOOK Tab </w:t>
      </w:r>
      <w:r>
        <w:rPr>
          <w:rFonts w:ascii="Times New Roman" w:eastAsia="Times New Roman" w:hAnsi="Times New Roman" w:cs="Times New Roman"/>
        </w:rPr>
        <w:br/>
      </w:r>
      <w:r w:rsidRPr="00851BB7">
        <w:rPr>
          <w:rFonts w:ascii="ArialMT" w:eastAsia="Times New Roman" w:hAnsi="ArialMT" w:cs="Times New Roman"/>
          <w:sz w:val="22"/>
          <w:szCs w:val="22"/>
        </w:rPr>
        <w:t xml:space="preserve">In the "Recovery Patterns" packet, there are 2 columns. The first says "Codependents often" </w:t>
      </w:r>
      <w:r w:rsidRPr="00851BB7">
        <w:rPr>
          <w:rFonts w:ascii="ArialMT" w:eastAsia="Times New Roman" w:hAnsi="ArialMT" w:cs="Times New Roman"/>
          <w:sz w:val="22"/>
          <w:szCs w:val="22"/>
        </w:rPr>
        <w:lastRenderedPageBreak/>
        <w:t>and the 2nd says "In Recovery." For some reason, these are said from 2 different perspectives.</w:t>
      </w:r>
      <w:r w:rsidRPr="00851BB7">
        <w:rPr>
          <w:rFonts w:ascii="ArialMT" w:eastAsia="Times New Roman" w:hAnsi="ArialMT" w:cs="Times New Roman"/>
          <w:sz w:val="22"/>
          <w:szCs w:val="22"/>
        </w:rPr>
        <w:br/>
        <w:t xml:space="preserve">Note: Literature Committee GC is to accept to work on this issue in the coming year and to bring a motion to resolve the confused presentation at the 2021 CSC. </w:t>
      </w:r>
    </w:p>
    <w:p w14:paraId="538B98AE" w14:textId="7C53DE52" w:rsidR="00851BB7" w:rsidRPr="00851BB7" w:rsidRDefault="00851BB7" w:rsidP="00851BB7">
      <w:pPr>
        <w:spacing w:before="100" w:beforeAutospacing="1" w:after="100" w:afterAutospacing="1"/>
        <w:rPr>
          <w:rFonts w:ascii="Times New Roman" w:eastAsia="Times New Roman" w:hAnsi="Times New Roman" w:cs="Times New Roman"/>
        </w:rPr>
      </w:pPr>
      <w:r w:rsidRPr="00851BB7">
        <w:rPr>
          <w:rFonts w:ascii="Arial" w:eastAsia="Times New Roman" w:hAnsi="Arial" w:cs="Arial"/>
          <w:b/>
          <w:bCs/>
          <w:sz w:val="22"/>
          <w:szCs w:val="22"/>
        </w:rPr>
        <w:t xml:space="preserve">Canada VEI 2020-01: Voting Entity Literature </w:t>
      </w:r>
      <w:r w:rsidRPr="00851BB7">
        <w:rPr>
          <w:rFonts w:ascii="ArialMT" w:eastAsia="Times New Roman" w:hAnsi="ArialMT" w:cs="Times New Roman"/>
          <w:sz w:val="22"/>
          <w:szCs w:val="22"/>
        </w:rPr>
        <w:t xml:space="preserve">– CSC 2020 Motion #1 </w:t>
      </w:r>
      <w:r>
        <w:rPr>
          <w:rFonts w:ascii="ArialMT" w:eastAsia="Times New Roman" w:hAnsi="ArialMT" w:cs="Times New Roman"/>
          <w:sz w:val="22"/>
          <w:szCs w:val="22"/>
        </w:rPr>
        <w:br/>
      </w:r>
      <w:r w:rsidRPr="00851BB7">
        <w:rPr>
          <w:rFonts w:ascii="TimesNewRomanPSMT" w:eastAsia="Times New Roman" w:hAnsi="TimesNewRomanPSMT" w:cs="Times New Roman"/>
          <w:b/>
          <w:bCs/>
          <w:sz w:val="22"/>
          <w:szCs w:val="22"/>
        </w:rPr>
        <w:t>Motion</w:t>
      </w:r>
      <w:r w:rsidRPr="00851BB7">
        <w:rPr>
          <w:rFonts w:ascii="TimesNewRomanPSMT" w:eastAsia="Times New Roman" w:hAnsi="TimesNewRomanPSMT" w:cs="Times New Roman"/>
          <w:sz w:val="22"/>
          <w:szCs w:val="22"/>
        </w:rPr>
        <w:t xml:space="preserve">: That the attached digital version of the Canadian new piece of literature called – </w:t>
      </w:r>
      <w:r w:rsidRPr="00851BB7">
        <w:rPr>
          <w:rFonts w:ascii="TimesNewRomanPS" w:eastAsia="Times New Roman" w:hAnsi="TimesNewRomanPS" w:cs="Times New Roman"/>
          <w:b/>
          <w:bCs/>
          <w:i/>
          <w:iCs/>
          <w:sz w:val="22"/>
          <w:szCs w:val="22"/>
        </w:rPr>
        <w:t xml:space="preserve">CoDA’s Twelve Service Concepts “The Service Concepts, Alive &amp; Strong!” </w:t>
      </w:r>
      <w:r w:rsidRPr="00851BB7">
        <w:rPr>
          <w:rFonts w:ascii="TimesNewRomanPSMT" w:eastAsia="Times New Roman" w:hAnsi="TimesNewRomanPSMT" w:cs="Times New Roman"/>
          <w:sz w:val="22"/>
          <w:szCs w:val="22"/>
        </w:rPr>
        <w:t xml:space="preserve">be accepted as CoDA Endorsed Literature and be made available to the Fellowship as a service piece in digital form, thus permitting trusted servants to use in their service work. CoDA Canada is currently ready to publish this booklet as a piece of Canadian literature in printed (hard copy) format. </w:t>
      </w:r>
    </w:p>
    <w:p w14:paraId="5288DA21" w14:textId="77777777" w:rsidR="0081172B" w:rsidRPr="0081172B" w:rsidRDefault="0081172B" w:rsidP="0081172B">
      <w:pPr>
        <w:tabs>
          <w:tab w:val="num" w:pos="720"/>
        </w:tabs>
        <w:ind w:left="720" w:hanging="360"/>
        <w:rPr>
          <w:sz w:val="20"/>
          <w:szCs w:val="20"/>
        </w:rPr>
      </w:pPr>
    </w:p>
    <w:p w14:paraId="4C0E3C32" w14:textId="77777777" w:rsidR="00851BB7" w:rsidRDefault="00851BB7">
      <w:pPr>
        <w:rPr>
          <w:rFonts w:ascii="Arial" w:eastAsia="Times New Roman" w:hAnsi="Arial" w:cs="Arial"/>
          <w:b/>
          <w:bCs/>
          <w:sz w:val="20"/>
          <w:szCs w:val="20"/>
        </w:rPr>
      </w:pPr>
      <w:r>
        <w:rPr>
          <w:rFonts w:ascii="Arial" w:eastAsia="Times New Roman" w:hAnsi="Arial" w:cs="Arial"/>
          <w:b/>
          <w:bCs/>
          <w:sz w:val="20"/>
          <w:szCs w:val="20"/>
        </w:rPr>
        <w:br w:type="page"/>
      </w:r>
    </w:p>
    <w:p w14:paraId="38180CE3" w14:textId="60FFAFF5" w:rsidR="0081172B" w:rsidRPr="0081172B" w:rsidRDefault="0081172B" w:rsidP="0081172B">
      <w:pPr>
        <w:spacing w:before="100" w:beforeAutospacing="1" w:after="100" w:afterAutospacing="1"/>
        <w:rPr>
          <w:rFonts w:ascii="Arial" w:eastAsia="Times New Roman" w:hAnsi="Arial" w:cs="Arial"/>
          <w:i/>
          <w:iCs/>
          <w:sz w:val="20"/>
          <w:szCs w:val="20"/>
        </w:rPr>
      </w:pPr>
      <w:r>
        <w:rPr>
          <w:rFonts w:ascii="Arial" w:eastAsia="Times New Roman" w:hAnsi="Arial" w:cs="Arial"/>
          <w:b/>
          <w:bCs/>
          <w:sz w:val="20"/>
          <w:szCs w:val="20"/>
        </w:rPr>
        <w:lastRenderedPageBreak/>
        <w:t xml:space="preserve">From </w:t>
      </w:r>
      <w:r w:rsidRPr="0081172B">
        <w:rPr>
          <w:rFonts w:ascii="Arial" w:eastAsia="Times New Roman" w:hAnsi="Arial" w:cs="Arial"/>
          <w:b/>
          <w:bCs/>
          <w:sz w:val="20"/>
          <w:szCs w:val="20"/>
        </w:rPr>
        <w:t>CoDA Fellowship Service Manual Part 4 Page 9 Last Revision: 2019-10-21</w:t>
      </w:r>
      <w:r>
        <w:rPr>
          <w:rFonts w:ascii="Arial" w:eastAsia="Times New Roman" w:hAnsi="Arial" w:cs="Arial"/>
          <w:i/>
          <w:iCs/>
          <w:sz w:val="20"/>
          <w:szCs w:val="20"/>
        </w:rPr>
        <w:br/>
      </w:r>
      <w:r>
        <w:rPr>
          <w:rFonts w:ascii="TimesNewRomanPS" w:hAnsi="TimesNewRomanPS"/>
          <w:b/>
          <w:bCs/>
          <w:sz w:val="20"/>
          <w:szCs w:val="20"/>
        </w:rPr>
        <w:br/>
      </w:r>
      <w:r w:rsidRPr="0081172B">
        <w:rPr>
          <w:rFonts w:ascii="TimesNewRomanPS" w:hAnsi="TimesNewRomanPS"/>
          <w:b/>
          <w:bCs/>
          <w:sz w:val="20"/>
          <w:szCs w:val="20"/>
        </w:rPr>
        <w:t xml:space="preserve">Voting Entity Issues (VEIs) </w:t>
      </w:r>
      <w:r w:rsidRPr="0081172B">
        <w:rPr>
          <w:rFonts w:ascii="TimesNewRomanPSMT" w:hAnsi="TimesNewRomanPSMT"/>
          <w:sz w:val="20"/>
          <w:szCs w:val="20"/>
        </w:rPr>
        <w:t xml:space="preserve">are those issues that are formed as a result of a group conscience process at the Voting Entity level. They are submitted to </w:t>
      </w:r>
      <w:r w:rsidRPr="0081172B">
        <w:rPr>
          <w:rFonts w:ascii="TimesNewRomanPSMT" w:hAnsi="TimesNewRomanPSMT"/>
          <w:color w:val="0000FF"/>
          <w:sz w:val="20"/>
          <w:szCs w:val="20"/>
        </w:rPr>
        <w:t xml:space="preserve">VEI@coda.org </w:t>
      </w:r>
      <w:r w:rsidRPr="0081172B">
        <w:rPr>
          <w:rFonts w:ascii="TimesNewRomanPSMT" w:hAnsi="TimesNewRomanPSMT"/>
          <w:sz w:val="20"/>
          <w:szCs w:val="20"/>
        </w:rPr>
        <w:t>on Motion/VEI form. They are usually assigned either to the Board or to a Committee for further actio</w:t>
      </w:r>
      <w:r>
        <w:rPr>
          <w:rFonts w:ascii="TimesNewRomanPSMT" w:hAnsi="TimesNewRomanPSMT"/>
          <w:sz w:val="20"/>
          <w:szCs w:val="20"/>
        </w:rPr>
        <w:t>n.</w:t>
      </w:r>
      <w:r>
        <w:rPr>
          <w:rFonts w:ascii="TimesNewRomanPSMT" w:hAnsi="TimesNewRomanPSMT"/>
          <w:sz w:val="20"/>
          <w:szCs w:val="20"/>
        </w:rPr>
        <w:br/>
      </w:r>
    </w:p>
    <w:p w14:paraId="110557FB" w14:textId="7E739590" w:rsidR="0081172B" w:rsidRPr="0081172B" w:rsidRDefault="0081172B" w:rsidP="0081172B">
      <w:pPr>
        <w:spacing w:before="100" w:beforeAutospacing="1" w:after="100" w:afterAutospacing="1"/>
        <w:rPr>
          <w:rFonts w:ascii="Times New Roman" w:eastAsia="Times New Roman" w:hAnsi="Times New Roman" w:cs="Times New Roman"/>
          <w:sz w:val="20"/>
          <w:szCs w:val="20"/>
        </w:rPr>
      </w:pPr>
      <w:r>
        <w:rPr>
          <w:rFonts w:ascii="Arial" w:eastAsia="Times New Roman" w:hAnsi="Arial" w:cs="Arial"/>
          <w:b/>
          <w:bCs/>
          <w:sz w:val="20"/>
          <w:szCs w:val="20"/>
        </w:rPr>
        <w:t xml:space="preserve">From </w:t>
      </w:r>
      <w:r w:rsidRPr="0081172B">
        <w:rPr>
          <w:rFonts w:ascii="Arial" w:eastAsia="Times New Roman" w:hAnsi="Arial" w:cs="Arial"/>
          <w:b/>
          <w:bCs/>
          <w:sz w:val="20"/>
          <w:szCs w:val="20"/>
        </w:rPr>
        <w:t xml:space="preserve">CoDA Fellowship Service Manual Part 4 Page 11 Last Revision: 2019-10-21 </w:t>
      </w:r>
    </w:p>
    <w:p w14:paraId="4AA808CA" w14:textId="77777777" w:rsidR="0081172B" w:rsidRPr="0081172B" w:rsidRDefault="0081172B" w:rsidP="0081172B">
      <w:pPr>
        <w:pStyle w:val="NormalWeb"/>
        <w:rPr>
          <w:sz w:val="20"/>
          <w:szCs w:val="20"/>
        </w:rPr>
      </w:pPr>
      <w:r w:rsidRPr="0081172B">
        <w:rPr>
          <w:rFonts w:ascii="Calibri" w:hAnsi="Calibri" w:cs="Calibri"/>
          <w:b/>
          <w:bCs/>
          <w:sz w:val="20"/>
          <w:szCs w:val="20"/>
        </w:rPr>
        <w:t xml:space="preserve">Guidelines for Presenting Voting Entity Issues to CSC </w:t>
      </w:r>
    </w:p>
    <w:p w14:paraId="2B6610D0"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Local Voting Entity discusses an issue and forms a recommendation to resolve that issue by using the group conscience process. This issue and recommendation is called a Voting Entity Issue (VEI) </w:t>
      </w:r>
    </w:p>
    <w:p w14:paraId="059FD6D4"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Voting Entity drafts the VEI, completes the VEI form, and sends it to the Board of Trustees via VEI@coda.org. From this point of submission, all email communication concerning the VEI from all parties must copy VEI@coda.org. </w:t>
      </w:r>
    </w:p>
    <w:p w14:paraId="60013FA2"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Board sends email confirmation acknowledging receipt of the VEI to the Voting Entity within 14 days. </w:t>
      </w:r>
    </w:p>
    <w:p w14:paraId="4793D277" w14:textId="65F98D2C"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Voting Entity Issues (VEI) may be submitted at any time of the year. Submission is not limited to the CSC submission deadline. </w:t>
      </w:r>
    </w:p>
    <w:p w14:paraId="05A52096" w14:textId="7E42875D"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Board assigns the VEI to either the board or the appropriate committee within 30 days of acknowledging receipt of VEI. Board notifies the VE at the time the VEI is assigned. </w:t>
      </w:r>
    </w:p>
    <w:p w14:paraId="67914D64" w14:textId="6C71550C"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Assigned Board or committee examines the issue and through group conscious, develops a response or written plan to address or resolve the VEI within 90 days of being assigned. During the response/plan development, it’s important that the assignee and the VE collaborate, communicate transparently, and work together towards a mutually agreeable plan, in service to the VE. </w:t>
      </w:r>
    </w:p>
    <w:p w14:paraId="4C52F05C" w14:textId="5C5C4C82"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The VEI may not dishonor or be in conflict with any By-laws, Steps, Traditions or legal considerations. If so, in its written response, the assigned Board or committee must cite specific reasons for the conflict. </w:t>
      </w:r>
    </w:p>
    <w:p w14:paraId="24DBDD01"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Assigned Board or Committee, in collaboration with the VE, may develop a motion to be presented at the CSC. </w:t>
      </w:r>
    </w:p>
    <w:p w14:paraId="21BA3234"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In the event the VE is not satisfied with the response or plan from the Board or assigned Committee, the VE retains the right to draft and submit a motion to the next CSC using the electronic Motion/VEI form available on the CoDA website. The motion must not dishonor any by-laws or legal considerations, and must meet all criteria for presenting a motion. (See procedures for submitting CSC items in part 4 of the FSM). The VE may request assistance from the IMC in drafting and presenting the motion. </w:t>
      </w:r>
    </w:p>
    <w:p w14:paraId="7F24A943" w14:textId="77777777"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The Issues Mediation Committee (IMC) will monitor the progress of the VEI to ensure the process is being followed and the timelines are being met. </w:t>
      </w:r>
    </w:p>
    <w:p w14:paraId="20F6F438" w14:textId="013A6859" w:rsidR="0081172B" w:rsidRPr="0081172B" w:rsidRDefault="0081172B" w:rsidP="0081172B">
      <w:pPr>
        <w:pStyle w:val="NormalWeb"/>
        <w:numPr>
          <w:ilvl w:val="0"/>
          <w:numId w:val="3"/>
        </w:numPr>
        <w:rPr>
          <w:rFonts w:ascii="Calibri" w:hAnsi="Calibri" w:cs="Calibri"/>
          <w:sz w:val="20"/>
          <w:szCs w:val="20"/>
        </w:rPr>
      </w:pPr>
      <w:r w:rsidRPr="0081172B">
        <w:rPr>
          <w:rFonts w:ascii="Calibri" w:hAnsi="Calibri" w:cs="Calibri"/>
          <w:sz w:val="20"/>
          <w:szCs w:val="20"/>
        </w:rPr>
        <w:t xml:space="preserve">The VE Delegate is responsible for following up on the status of their Voting Entity issues and reporting back to their membership. </w:t>
      </w:r>
    </w:p>
    <w:p w14:paraId="4A81779C" w14:textId="7E24E92C" w:rsidR="0081172B" w:rsidRPr="0081172B" w:rsidRDefault="0081172B" w:rsidP="0081172B">
      <w:pPr>
        <w:pStyle w:val="NormalWeb"/>
        <w:rPr>
          <w:sz w:val="20"/>
          <w:szCs w:val="20"/>
        </w:rPr>
      </w:pPr>
      <w:r w:rsidRPr="0081172B">
        <w:rPr>
          <w:rFonts w:ascii="Calibri" w:hAnsi="Calibri" w:cs="Calibri"/>
          <w:b/>
          <w:bCs/>
          <w:sz w:val="20"/>
          <w:szCs w:val="20"/>
        </w:rPr>
        <w:t xml:space="preserve">Committee Accountability: </w:t>
      </w:r>
      <w:r>
        <w:rPr>
          <w:sz w:val="20"/>
          <w:szCs w:val="20"/>
        </w:rPr>
        <w:br/>
      </w:r>
      <w:r w:rsidRPr="0081172B">
        <w:rPr>
          <w:rFonts w:ascii="Calibri" w:hAnsi="Calibri" w:cs="Calibri"/>
          <w:sz w:val="20"/>
          <w:szCs w:val="20"/>
        </w:rPr>
        <w:t xml:space="preserve">Each committee reports to the CSC their progress on the previous year’s CoDA Service Conference motions and assigned Fellowship issues. All standing CoDA Committees submit their Committee reports, motions, goals and budgets as defined in Section 10, Community Problem Solving Method and Conference Procedures, Guidelines for Board, Committee and VEI Reports, Issues and Motions Presented at CoDA Service Conference (CSC). Before leaving Conference, each committee provides the CoDA Board with a copy of the committee goals for the coming year. This will serve as a guideline for the incoming Committee Chair and the new Committee Board Liaison. </w:t>
      </w:r>
    </w:p>
    <w:p w14:paraId="33886C4E" w14:textId="77777777" w:rsidR="0081172B" w:rsidRPr="0081172B" w:rsidRDefault="0081172B" w:rsidP="0081172B">
      <w:pPr>
        <w:pStyle w:val="NormalWeb"/>
        <w:rPr>
          <w:rFonts w:ascii="SymbolMT" w:hAnsi="SymbolMT"/>
          <w:sz w:val="20"/>
          <w:szCs w:val="20"/>
        </w:rPr>
      </w:pPr>
    </w:p>
    <w:p w14:paraId="0F9DE4D9" w14:textId="77777777" w:rsidR="008F3E90" w:rsidRPr="0081172B" w:rsidRDefault="008F3E90">
      <w:pPr>
        <w:rPr>
          <w:sz w:val="20"/>
          <w:szCs w:val="20"/>
        </w:rPr>
      </w:pPr>
    </w:p>
    <w:sectPr w:rsidR="008F3E90" w:rsidRPr="0081172B" w:rsidSect="0027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0940"/>
    <w:multiLevelType w:val="multilevel"/>
    <w:tmpl w:val="1CA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2B32CB"/>
    <w:multiLevelType w:val="multilevel"/>
    <w:tmpl w:val="83F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F647C"/>
    <w:multiLevelType w:val="multilevel"/>
    <w:tmpl w:val="7376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2B"/>
    <w:rsid w:val="00276BFC"/>
    <w:rsid w:val="0081172B"/>
    <w:rsid w:val="00851BB7"/>
    <w:rsid w:val="008F3E90"/>
    <w:rsid w:val="00C1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9F1B2"/>
  <w15:chartTrackingRefBased/>
  <w15:docId w15:val="{FA098E75-B496-DA42-A8C8-53748650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7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1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3500">
      <w:bodyDiv w:val="1"/>
      <w:marLeft w:val="0"/>
      <w:marRight w:val="0"/>
      <w:marTop w:val="0"/>
      <w:marBottom w:val="0"/>
      <w:divBdr>
        <w:top w:val="none" w:sz="0" w:space="0" w:color="auto"/>
        <w:left w:val="none" w:sz="0" w:space="0" w:color="auto"/>
        <w:bottom w:val="none" w:sz="0" w:space="0" w:color="auto"/>
        <w:right w:val="none" w:sz="0" w:space="0" w:color="auto"/>
      </w:divBdr>
      <w:divsChild>
        <w:div w:id="448857725">
          <w:marLeft w:val="0"/>
          <w:marRight w:val="0"/>
          <w:marTop w:val="0"/>
          <w:marBottom w:val="0"/>
          <w:divBdr>
            <w:top w:val="none" w:sz="0" w:space="0" w:color="auto"/>
            <w:left w:val="none" w:sz="0" w:space="0" w:color="auto"/>
            <w:bottom w:val="none" w:sz="0" w:space="0" w:color="auto"/>
            <w:right w:val="none" w:sz="0" w:space="0" w:color="auto"/>
          </w:divBdr>
          <w:divsChild>
            <w:div w:id="845899594">
              <w:marLeft w:val="0"/>
              <w:marRight w:val="0"/>
              <w:marTop w:val="0"/>
              <w:marBottom w:val="0"/>
              <w:divBdr>
                <w:top w:val="none" w:sz="0" w:space="0" w:color="auto"/>
                <w:left w:val="none" w:sz="0" w:space="0" w:color="auto"/>
                <w:bottom w:val="none" w:sz="0" w:space="0" w:color="auto"/>
                <w:right w:val="none" w:sz="0" w:space="0" w:color="auto"/>
              </w:divBdr>
              <w:divsChild>
                <w:div w:id="643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9312">
      <w:bodyDiv w:val="1"/>
      <w:marLeft w:val="0"/>
      <w:marRight w:val="0"/>
      <w:marTop w:val="0"/>
      <w:marBottom w:val="0"/>
      <w:divBdr>
        <w:top w:val="none" w:sz="0" w:space="0" w:color="auto"/>
        <w:left w:val="none" w:sz="0" w:space="0" w:color="auto"/>
        <w:bottom w:val="none" w:sz="0" w:space="0" w:color="auto"/>
        <w:right w:val="none" w:sz="0" w:space="0" w:color="auto"/>
      </w:divBdr>
      <w:divsChild>
        <w:div w:id="151415290">
          <w:marLeft w:val="0"/>
          <w:marRight w:val="0"/>
          <w:marTop w:val="0"/>
          <w:marBottom w:val="0"/>
          <w:divBdr>
            <w:top w:val="none" w:sz="0" w:space="0" w:color="auto"/>
            <w:left w:val="none" w:sz="0" w:space="0" w:color="auto"/>
            <w:bottom w:val="none" w:sz="0" w:space="0" w:color="auto"/>
            <w:right w:val="none" w:sz="0" w:space="0" w:color="auto"/>
          </w:divBdr>
          <w:divsChild>
            <w:div w:id="1180386262">
              <w:marLeft w:val="0"/>
              <w:marRight w:val="0"/>
              <w:marTop w:val="0"/>
              <w:marBottom w:val="0"/>
              <w:divBdr>
                <w:top w:val="none" w:sz="0" w:space="0" w:color="auto"/>
                <w:left w:val="none" w:sz="0" w:space="0" w:color="auto"/>
                <w:bottom w:val="none" w:sz="0" w:space="0" w:color="auto"/>
                <w:right w:val="none" w:sz="0" w:space="0" w:color="auto"/>
              </w:divBdr>
              <w:divsChild>
                <w:div w:id="1198196011">
                  <w:marLeft w:val="0"/>
                  <w:marRight w:val="0"/>
                  <w:marTop w:val="0"/>
                  <w:marBottom w:val="0"/>
                  <w:divBdr>
                    <w:top w:val="none" w:sz="0" w:space="0" w:color="auto"/>
                    <w:left w:val="none" w:sz="0" w:space="0" w:color="auto"/>
                    <w:bottom w:val="none" w:sz="0" w:space="0" w:color="auto"/>
                    <w:right w:val="none" w:sz="0" w:space="0" w:color="auto"/>
                  </w:divBdr>
                  <w:divsChild>
                    <w:div w:id="9624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126">
          <w:marLeft w:val="0"/>
          <w:marRight w:val="0"/>
          <w:marTop w:val="0"/>
          <w:marBottom w:val="0"/>
          <w:divBdr>
            <w:top w:val="none" w:sz="0" w:space="0" w:color="auto"/>
            <w:left w:val="none" w:sz="0" w:space="0" w:color="auto"/>
            <w:bottom w:val="none" w:sz="0" w:space="0" w:color="auto"/>
            <w:right w:val="none" w:sz="0" w:space="0" w:color="auto"/>
          </w:divBdr>
          <w:divsChild>
            <w:div w:id="1353995606">
              <w:marLeft w:val="0"/>
              <w:marRight w:val="0"/>
              <w:marTop w:val="0"/>
              <w:marBottom w:val="0"/>
              <w:divBdr>
                <w:top w:val="none" w:sz="0" w:space="0" w:color="auto"/>
                <w:left w:val="none" w:sz="0" w:space="0" w:color="auto"/>
                <w:bottom w:val="none" w:sz="0" w:space="0" w:color="auto"/>
                <w:right w:val="none" w:sz="0" w:space="0" w:color="auto"/>
              </w:divBdr>
              <w:divsChild>
                <w:div w:id="148326397">
                  <w:marLeft w:val="0"/>
                  <w:marRight w:val="0"/>
                  <w:marTop w:val="0"/>
                  <w:marBottom w:val="0"/>
                  <w:divBdr>
                    <w:top w:val="none" w:sz="0" w:space="0" w:color="auto"/>
                    <w:left w:val="none" w:sz="0" w:space="0" w:color="auto"/>
                    <w:bottom w:val="none" w:sz="0" w:space="0" w:color="auto"/>
                    <w:right w:val="none" w:sz="0" w:space="0" w:color="auto"/>
                  </w:divBdr>
                  <w:divsChild>
                    <w:div w:id="14172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2206">
          <w:marLeft w:val="0"/>
          <w:marRight w:val="0"/>
          <w:marTop w:val="0"/>
          <w:marBottom w:val="0"/>
          <w:divBdr>
            <w:top w:val="none" w:sz="0" w:space="0" w:color="auto"/>
            <w:left w:val="none" w:sz="0" w:space="0" w:color="auto"/>
            <w:bottom w:val="none" w:sz="0" w:space="0" w:color="auto"/>
            <w:right w:val="none" w:sz="0" w:space="0" w:color="auto"/>
          </w:divBdr>
          <w:divsChild>
            <w:div w:id="294944212">
              <w:marLeft w:val="0"/>
              <w:marRight w:val="0"/>
              <w:marTop w:val="0"/>
              <w:marBottom w:val="0"/>
              <w:divBdr>
                <w:top w:val="none" w:sz="0" w:space="0" w:color="auto"/>
                <w:left w:val="none" w:sz="0" w:space="0" w:color="auto"/>
                <w:bottom w:val="none" w:sz="0" w:space="0" w:color="auto"/>
                <w:right w:val="none" w:sz="0" w:space="0" w:color="auto"/>
              </w:divBdr>
              <w:divsChild>
                <w:div w:id="1019506082">
                  <w:marLeft w:val="0"/>
                  <w:marRight w:val="0"/>
                  <w:marTop w:val="0"/>
                  <w:marBottom w:val="0"/>
                  <w:divBdr>
                    <w:top w:val="none" w:sz="0" w:space="0" w:color="auto"/>
                    <w:left w:val="none" w:sz="0" w:space="0" w:color="auto"/>
                    <w:bottom w:val="none" w:sz="0" w:space="0" w:color="auto"/>
                    <w:right w:val="none" w:sz="0" w:space="0" w:color="auto"/>
                  </w:divBdr>
                  <w:divsChild>
                    <w:div w:id="20388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90521">
      <w:bodyDiv w:val="1"/>
      <w:marLeft w:val="0"/>
      <w:marRight w:val="0"/>
      <w:marTop w:val="0"/>
      <w:marBottom w:val="0"/>
      <w:divBdr>
        <w:top w:val="none" w:sz="0" w:space="0" w:color="auto"/>
        <w:left w:val="none" w:sz="0" w:space="0" w:color="auto"/>
        <w:bottom w:val="none" w:sz="0" w:space="0" w:color="auto"/>
        <w:right w:val="none" w:sz="0" w:space="0" w:color="auto"/>
      </w:divBdr>
      <w:divsChild>
        <w:div w:id="701785033">
          <w:marLeft w:val="0"/>
          <w:marRight w:val="0"/>
          <w:marTop w:val="0"/>
          <w:marBottom w:val="0"/>
          <w:divBdr>
            <w:top w:val="none" w:sz="0" w:space="0" w:color="auto"/>
            <w:left w:val="none" w:sz="0" w:space="0" w:color="auto"/>
            <w:bottom w:val="none" w:sz="0" w:space="0" w:color="auto"/>
            <w:right w:val="none" w:sz="0" w:space="0" w:color="auto"/>
          </w:divBdr>
          <w:divsChild>
            <w:div w:id="802187799">
              <w:marLeft w:val="0"/>
              <w:marRight w:val="0"/>
              <w:marTop w:val="0"/>
              <w:marBottom w:val="0"/>
              <w:divBdr>
                <w:top w:val="none" w:sz="0" w:space="0" w:color="auto"/>
                <w:left w:val="none" w:sz="0" w:space="0" w:color="auto"/>
                <w:bottom w:val="none" w:sz="0" w:space="0" w:color="auto"/>
                <w:right w:val="none" w:sz="0" w:space="0" w:color="auto"/>
              </w:divBdr>
              <w:divsChild>
                <w:div w:id="8218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5581">
      <w:bodyDiv w:val="1"/>
      <w:marLeft w:val="0"/>
      <w:marRight w:val="0"/>
      <w:marTop w:val="0"/>
      <w:marBottom w:val="0"/>
      <w:divBdr>
        <w:top w:val="none" w:sz="0" w:space="0" w:color="auto"/>
        <w:left w:val="none" w:sz="0" w:space="0" w:color="auto"/>
        <w:bottom w:val="none" w:sz="0" w:space="0" w:color="auto"/>
        <w:right w:val="none" w:sz="0" w:space="0" w:color="auto"/>
      </w:divBdr>
      <w:divsChild>
        <w:div w:id="897011589">
          <w:marLeft w:val="0"/>
          <w:marRight w:val="0"/>
          <w:marTop w:val="0"/>
          <w:marBottom w:val="0"/>
          <w:divBdr>
            <w:top w:val="none" w:sz="0" w:space="0" w:color="auto"/>
            <w:left w:val="none" w:sz="0" w:space="0" w:color="auto"/>
            <w:bottom w:val="none" w:sz="0" w:space="0" w:color="auto"/>
            <w:right w:val="none" w:sz="0" w:space="0" w:color="auto"/>
          </w:divBdr>
          <w:divsChild>
            <w:div w:id="105976988">
              <w:marLeft w:val="0"/>
              <w:marRight w:val="0"/>
              <w:marTop w:val="0"/>
              <w:marBottom w:val="0"/>
              <w:divBdr>
                <w:top w:val="none" w:sz="0" w:space="0" w:color="auto"/>
                <w:left w:val="none" w:sz="0" w:space="0" w:color="auto"/>
                <w:bottom w:val="none" w:sz="0" w:space="0" w:color="auto"/>
                <w:right w:val="none" w:sz="0" w:space="0" w:color="auto"/>
              </w:divBdr>
              <w:divsChild>
                <w:div w:id="9897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4890">
      <w:bodyDiv w:val="1"/>
      <w:marLeft w:val="0"/>
      <w:marRight w:val="0"/>
      <w:marTop w:val="0"/>
      <w:marBottom w:val="0"/>
      <w:divBdr>
        <w:top w:val="none" w:sz="0" w:space="0" w:color="auto"/>
        <w:left w:val="none" w:sz="0" w:space="0" w:color="auto"/>
        <w:bottom w:val="none" w:sz="0" w:space="0" w:color="auto"/>
        <w:right w:val="none" w:sz="0" w:space="0" w:color="auto"/>
      </w:divBdr>
      <w:divsChild>
        <w:div w:id="2137945398">
          <w:marLeft w:val="0"/>
          <w:marRight w:val="0"/>
          <w:marTop w:val="0"/>
          <w:marBottom w:val="0"/>
          <w:divBdr>
            <w:top w:val="none" w:sz="0" w:space="0" w:color="auto"/>
            <w:left w:val="none" w:sz="0" w:space="0" w:color="auto"/>
            <w:bottom w:val="none" w:sz="0" w:space="0" w:color="auto"/>
            <w:right w:val="none" w:sz="0" w:space="0" w:color="auto"/>
          </w:divBdr>
          <w:divsChild>
            <w:div w:id="1465465843">
              <w:marLeft w:val="0"/>
              <w:marRight w:val="0"/>
              <w:marTop w:val="0"/>
              <w:marBottom w:val="0"/>
              <w:divBdr>
                <w:top w:val="none" w:sz="0" w:space="0" w:color="auto"/>
                <w:left w:val="none" w:sz="0" w:space="0" w:color="auto"/>
                <w:bottom w:val="none" w:sz="0" w:space="0" w:color="auto"/>
                <w:right w:val="none" w:sz="0" w:space="0" w:color="auto"/>
              </w:divBdr>
              <w:divsChild>
                <w:div w:id="3064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558">
      <w:bodyDiv w:val="1"/>
      <w:marLeft w:val="0"/>
      <w:marRight w:val="0"/>
      <w:marTop w:val="0"/>
      <w:marBottom w:val="0"/>
      <w:divBdr>
        <w:top w:val="none" w:sz="0" w:space="0" w:color="auto"/>
        <w:left w:val="none" w:sz="0" w:space="0" w:color="auto"/>
        <w:bottom w:val="none" w:sz="0" w:space="0" w:color="auto"/>
        <w:right w:val="none" w:sz="0" w:space="0" w:color="auto"/>
      </w:divBdr>
      <w:divsChild>
        <w:div w:id="910775358">
          <w:marLeft w:val="0"/>
          <w:marRight w:val="0"/>
          <w:marTop w:val="0"/>
          <w:marBottom w:val="0"/>
          <w:divBdr>
            <w:top w:val="none" w:sz="0" w:space="0" w:color="auto"/>
            <w:left w:val="none" w:sz="0" w:space="0" w:color="auto"/>
            <w:bottom w:val="none" w:sz="0" w:space="0" w:color="auto"/>
            <w:right w:val="none" w:sz="0" w:space="0" w:color="auto"/>
          </w:divBdr>
          <w:divsChild>
            <w:div w:id="1753695725">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8206">
      <w:bodyDiv w:val="1"/>
      <w:marLeft w:val="0"/>
      <w:marRight w:val="0"/>
      <w:marTop w:val="0"/>
      <w:marBottom w:val="0"/>
      <w:divBdr>
        <w:top w:val="none" w:sz="0" w:space="0" w:color="auto"/>
        <w:left w:val="none" w:sz="0" w:space="0" w:color="auto"/>
        <w:bottom w:val="none" w:sz="0" w:space="0" w:color="auto"/>
        <w:right w:val="none" w:sz="0" w:space="0" w:color="auto"/>
      </w:divBdr>
      <w:divsChild>
        <w:div w:id="1925720200">
          <w:marLeft w:val="0"/>
          <w:marRight w:val="0"/>
          <w:marTop w:val="0"/>
          <w:marBottom w:val="0"/>
          <w:divBdr>
            <w:top w:val="none" w:sz="0" w:space="0" w:color="auto"/>
            <w:left w:val="none" w:sz="0" w:space="0" w:color="auto"/>
            <w:bottom w:val="none" w:sz="0" w:space="0" w:color="auto"/>
            <w:right w:val="none" w:sz="0" w:space="0" w:color="auto"/>
          </w:divBdr>
          <w:divsChild>
            <w:div w:id="878661487">
              <w:marLeft w:val="0"/>
              <w:marRight w:val="0"/>
              <w:marTop w:val="0"/>
              <w:marBottom w:val="0"/>
              <w:divBdr>
                <w:top w:val="none" w:sz="0" w:space="0" w:color="auto"/>
                <w:left w:val="none" w:sz="0" w:space="0" w:color="auto"/>
                <w:bottom w:val="none" w:sz="0" w:space="0" w:color="auto"/>
                <w:right w:val="none" w:sz="0" w:space="0" w:color="auto"/>
              </w:divBdr>
              <w:divsChild>
                <w:div w:id="7977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Selter</dc:creator>
  <cp:keywords/>
  <dc:description/>
  <cp:lastModifiedBy>Nancy Ouellet</cp:lastModifiedBy>
  <cp:revision>2</cp:revision>
  <dcterms:created xsi:type="dcterms:W3CDTF">2020-08-16T13:25:00Z</dcterms:created>
  <dcterms:modified xsi:type="dcterms:W3CDTF">2020-08-16T13:25:00Z</dcterms:modified>
</cp:coreProperties>
</file>